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0FE2A" w14:textId="65BA5924" w:rsidR="00416BE2" w:rsidRPr="00E87DD5" w:rsidRDefault="00E87DD5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87DD5">
        <w:rPr>
          <w:rFonts w:ascii="Times New Roman" w:hAnsi="Times New Roman" w:cs="Times New Roman"/>
          <w:b/>
          <w:bCs/>
          <w:sz w:val="26"/>
          <w:szCs w:val="26"/>
        </w:rPr>
        <w:t>PUBBLICAZIONI FRANCESCO SIRONI</w:t>
      </w:r>
    </w:p>
    <w:p w14:paraId="4245C9BB" w14:textId="4C2FF7DA" w:rsid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La nutrice di Saffo in P.Oxy. 2289 e i paralleli omerici nel “Carme dei fratelli”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«Acme» 68/2 (2015), 111-118.</w:t>
      </w:r>
    </w:p>
    <w:p w14:paraId="67443C83" w14:textId="77777777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14:paraId="0A58D737" w14:textId="44F1CA3F" w:rsid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La presenza del passato: Saffo e i personaggi dell’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epos, «Lexis» 36 (2018), 60-77.</w:t>
      </w:r>
    </w:p>
    <w:p w14:paraId="0AE8AAB5" w14:textId="77777777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14:paraId="0D450903" w14:textId="4E5C7231" w:rsid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La ‘Batracomiomachia’ di Alessandro Garioni tra greco, italiano e milanese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«Italiano LinguaDue» 10/2 (2018), 291-298.</w:t>
      </w:r>
    </w:p>
    <w:p w14:paraId="4B959FD6" w14:textId="77777777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14:paraId="2C777C20" w14:textId="66DFBF00" w:rsid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La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Batracomiomachia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di Alessandro Garioni. Greco, italiano e milanese alla fine del </w:t>
      </w:r>
      <w:r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Settecento</w:t>
      </w: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 Milano, FrancoAngeli 2019.</w:t>
      </w:r>
    </w:p>
    <w:p w14:paraId="30AF489B" w14:textId="77777777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14:paraId="7EE1AEC3" w14:textId="1FE39029" w:rsid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Heraclitus in Verse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: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The Poetic Fragments of Scythinus of Teos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«Greek, Roman and Byzantine Studies» 59/4 (2019), 551-567.</w:t>
      </w:r>
    </w:p>
    <w:p w14:paraId="27EDFD85" w14:textId="77777777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</w:p>
    <w:p w14:paraId="32FA788F" w14:textId="39CB817E" w:rsidR="00E87DD5" w:rsidRPr="00E87DD5" w:rsidRDefault="00E87DD5" w:rsidP="00E87DD5">
      <w:pPr>
        <w:widowControl w:val="0"/>
        <w:suppressLineNumbers/>
        <w:suppressAutoHyphens/>
        <w:autoSpaceDE w:val="0"/>
        <w:spacing w:before="28" w:after="0" w:line="100" w:lineRule="atLeast"/>
        <w:jc w:val="both"/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-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F. Sironi, Persicos odi, puer, apparatus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 xml:space="preserve">(Hor. 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 xml:space="preserve">Carm. </w:t>
      </w:r>
      <w:r w:rsidRPr="00E87DD5">
        <w:rPr>
          <w:rFonts w:ascii="Times New Roman" w:eastAsia="SimSun" w:hAnsi="Times New Roman" w:cs="Times New Roman"/>
          <w:i/>
          <w:spacing w:val="-6"/>
          <w:kern w:val="1"/>
          <w:sz w:val="24"/>
          <w:szCs w:val="24"/>
          <w:lang w:eastAsia="hi-IN" w:bidi="hi-IN"/>
        </w:rPr>
        <w:t>1.38.1): a Sapphic allusion?</w:t>
      </w:r>
      <w:r w:rsidRPr="00E87DD5">
        <w:rPr>
          <w:rFonts w:ascii="Times New Roman" w:eastAsia="SimSun" w:hAnsi="Times New Roman" w:cs="Times New Roman"/>
          <w:spacing w:val="-6"/>
          <w:kern w:val="1"/>
          <w:sz w:val="24"/>
          <w:szCs w:val="24"/>
          <w:lang w:eastAsia="hi-IN" w:bidi="hi-IN"/>
        </w:rPr>
        <w:t>, «Mnemosyne» 73 (2020), 327-332.</w:t>
      </w:r>
      <w:bookmarkStart w:id="0" w:name="_GoBack"/>
      <w:bookmarkEnd w:id="0"/>
    </w:p>
    <w:p w14:paraId="38FAA78D" w14:textId="77777777" w:rsidR="00E87DD5" w:rsidRPr="00E87DD5" w:rsidRDefault="00E87DD5">
      <w:pPr>
        <w:rPr>
          <w:b/>
          <w:bCs/>
        </w:rPr>
      </w:pPr>
    </w:p>
    <w:sectPr w:rsidR="00E87DD5" w:rsidRPr="00E87D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61"/>
    <w:rsid w:val="00320261"/>
    <w:rsid w:val="003F2F75"/>
    <w:rsid w:val="00416BE2"/>
    <w:rsid w:val="007C2E3E"/>
    <w:rsid w:val="00E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CD675"/>
  <w15:chartTrackingRefBased/>
  <w15:docId w15:val="{251CAA09-5247-4343-A187-7FC7BF6E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E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C2E3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Sironi</dc:creator>
  <cp:keywords/>
  <dc:description/>
  <cp:lastModifiedBy>Francesco Sironi</cp:lastModifiedBy>
  <cp:revision>2</cp:revision>
  <dcterms:created xsi:type="dcterms:W3CDTF">2021-01-13T17:28:00Z</dcterms:created>
  <dcterms:modified xsi:type="dcterms:W3CDTF">2021-01-13T17:36:00Z</dcterms:modified>
</cp:coreProperties>
</file>